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21" w:rsidRDefault="006309D0" w:rsidP="00A1405B">
      <w:pPr>
        <w:ind w:left="540" w:right="419"/>
        <w:rPr>
          <w:b/>
          <w:color w:val="AF272F"/>
          <w:sz w:val="36"/>
          <w:szCs w:val="44"/>
        </w:rPr>
      </w:pPr>
      <w:bookmarkStart w:id="0" w:name="_GoBack"/>
      <w:bookmarkEnd w:id="0"/>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2021</w:t>
      </w:r>
    </w:p>
    <w:p w:rsidR="001174B8" w:rsidRDefault="00FC0CD4" w:rsidP="00CC45E0">
      <w:pPr>
        <w:pStyle w:val="ESIntroParagraph"/>
        <w:ind w:left="-567" w:right="1607" w:firstLine="1107"/>
        <w:rPr>
          <w:color w:val="595959" w:themeColor="text1" w:themeTint="A6"/>
        </w:rPr>
      </w:pPr>
    </w:p>
    <w:p w:rsidR="00ED54A5" w:rsidRPr="00962EA9" w:rsidRDefault="006309D0" w:rsidP="00ED54A5">
      <w:pPr>
        <w:ind w:left="540" w:right="419"/>
        <w:rPr>
          <w:b/>
          <w:color w:val="AF272F"/>
          <w:sz w:val="32"/>
          <w:szCs w:val="32"/>
        </w:rPr>
      </w:pPr>
      <w:r w:rsidRPr="00962EA9">
        <w:rPr>
          <w:b/>
          <w:color w:val="AF272F"/>
          <w:sz w:val="32"/>
          <w:szCs w:val="32"/>
        </w:rPr>
        <w:t>Select Annual Goals and KIS</w:t>
      </w:r>
    </w:p>
    <w:p w:rsidR="001174B8" w:rsidRDefault="00FC0CD4" w:rsidP="00CC45E0">
      <w:pPr>
        <w:pStyle w:val="ESIntroParagraph"/>
        <w:ind w:left="-567" w:right="1607" w:firstLine="1107"/>
        <w:rPr>
          <w:color w:val="595959" w:themeColor="text1" w:themeTint="A6"/>
        </w:rPr>
      </w:pPr>
    </w:p>
    <w:p w:rsidR="00841F2A" w:rsidRPr="0096710D" w:rsidRDefault="006309D0" w:rsidP="00CC45E0">
      <w:pPr>
        <w:pStyle w:val="ESIntroParagraph"/>
        <w:ind w:left="-567" w:right="1607" w:firstLine="1107"/>
        <w:rPr>
          <w:color w:val="595959" w:themeColor="text1" w:themeTint="A6"/>
        </w:rPr>
      </w:pPr>
      <w:r w:rsidRPr="0096710D">
        <w:rPr>
          <w:noProof/>
          <w:color w:val="595959" w:themeColor="text1" w:themeTint="A6"/>
        </w:rPr>
        <w:t>Lorne P-12 College (7997)</w:t>
      </w:r>
    </w:p>
    <w:p w:rsidR="00841F2A" w:rsidRPr="008766A4" w:rsidRDefault="00FC0CD4" w:rsidP="00D84C0F">
      <w:pPr>
        <w:pStyle w:val="ESIntroParagraph"/>
        <w:ind w:left="-567" w:right="4330"/>
      </w:pPr>
    </w:p>
    <w:p w:rsidR="00751081" w:rsidRDefault="00FC0CD4" w:rsidP="00D84C0F">
      <w:pPr>
        <w:pStyle w:val="Heading1"/>
        <w:ind w:left="-567"/>
      </w:pPr>
    </w:p>
    <w:p w:rsidR="00DA2B24" w:rsidRDefault="00FC0CD4" w:rsidP="00895870">
      <w:pPr>
        <w:pStyle w:val="ESHeading2"/>
      </w:pPr>
    </w:p>
    <w:p w:rsidR="00C35E70" w:rsidRDefault="00FC0CD4" w:rsidP="00895870">
      <w:pPr>
        <w:pStyle w:val="ESHeading2"/>
      </w:pPr>
    </w:p>
    <w:p w:rsidR="00DA2B24" w:rsidRDefault="00FC0CD4" w:rsidP="00895870">
      <w:pPr>
        <w:pStyle w:val="ESHeading2"/>
      </w:pPr>
    </w:p>
    <w:p w:rsidR="00ED2271" w:rsidRDefault="00FC0CD4" w:rsidP="00895870">
      <w:pPr>
        <w:pStyle w:val="ESHeading2"/>
      </w:pPr>
    </w:p>
    <w:p w:rsidR="00C35E70" w:rsidRPr="00683AC0" w:rsidRDefault="006309D0" w:rsidP="00683AC0">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3810532" cy="2791215"/>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791215"/>
                    </a:xfrm>
                    <a:prstGeom prst="rect">
                      <a:avLst/>
                    </a:prstGeom>
                  </pic:spPr>
                </pic:pic>
              </a:graphicData>
            </a:graphic>
          </wp:anchor>
        </w:drawing>
      </w:r>
      <w:r>
        <w:rPr>
          <w:noProof/>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C35E70" w:rsidRDefault="006309D0" w:rsidP="00C35E70">
                            <w:pPr>
                              <w:pStyle w:val="ESBodyText"/>
                            </w:pPr>
                            <w:r>
                              <w:rPr>
                                <w:noProof/>
                              </w:rPr>
                              <w:t>Submitted for review by Shane Elevato (School Principal) on 16 December, 2020 at 09:27 AM</w:t>
                            </w:r>
                            <w:r>
                              <w:rPr>
                                <w:noProof/>
                              </w:rPr>
                              <w:br/>
                              <w:t>Endorsed by Brendan Bush (Senior Education Improvement Leader) on 09 February, 2021 at 10:40 AM</w:t>
                            </w:r>
                            <w:r>
                              <w:rPr>
                                <w:noProof/>
                              </w:rPr>
                              <w:br/>
                              <w:t>Endorsed by Margery Pithouse (School Council President) on 04 March, 2021 at 01:09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7216" fillcolor="white" stroked="f" strokeweight="0.75pt">
                <v:stroke joinstyle="miter"/>
                <v:textbox>
                  <w:txbxContent>
                    <w:p w:rsidR="00C35E70" w:rsidP="00C35E70">
                      <w:pPr>
                        <w:pStyle w:val="ESBodyText"/>
                      </w:pPr>
                      <w:r>
                        <w:rPr>
                          <w:noProof/>
                        </w:rPr>
                        <w:t>Submitted for review by Shane Elevato (School Principal) on 16 December, 2020 at 09:27 AM</w:t>
                        <w:br/>
                        <w:t>Endorsed by Brendan Bush (Senior Education Improvement Leader) on 09 February, 2021 at 10:40 AM</w:t>
                        <w:br/>
                        <w:t>Endorsed by Margery Pithouse (School Council President) on 04 March, 2021 at 01:09 PM</w:t>
                        <w:br/>
                      </w:r>
                    </w:p>
                  </w:txbxContent>
                </v:textbox>
                <w10:wrap anchorx="margin"/>
                <w10:anchorlock/>
              </v:shape>
            </w:pict>
          </mc:Fallback>
        </mc:AlternateContent>
      </w:r>
    </w:p>
    <w:p w:rsidR="00C65B59" w:rsidRDefault="00FC0CD4" w:rsidP="00CB0768">
      <w:pPr>
        <w:pStyle w:val="ESHeading2"/>
        <w:rPr>
          <w:b w:val="0"/>
        </w:rPr>
      </w:pPr>
    </w:p>
    <w:p w:rsidR="00CB0768" w:rsidRDefault="00FC0CD4" w:rsidP="00B669ED">
      <w:pPr>
        <w:pStyle w:val="ESHeading2"/>
        <w:sectPr w:rsidR="00CB0768" w:rsidSect="001C3D92">
          <w:headerReference w:type="even" r:id="rId13"/>
          <w:headerReference w:type="default" r:id="rId14"/>
          <w:footerReference w:type="even" r:id="rId15"/>
          <w:footerReference w:type="default" r:id="rId16"/>
          <w:headerReference w:type="first" r:id="rId17"/>
          <w:pgSz w:w="11906" w:h="16838"/>
          <w:pgMar w:top="1005" w:right="737" w:bottom="1304" w:left="562" w:header="624" w:footer="1134" w:gutter="0"/>
          <w:cols w:space="397"/>
          <w:docGrid w:linePitch="360"/>
        </w:sectPr>
      </w:pPr>
    </w:p>
    <w:p w:rsidR="00145C6B" w:rsidRPr="001C76FB" w:rsidRDefault="006309D0"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FC0CD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E27FE1" w:rsidTr="000100BE">
        <w:trPr>
          <w:trHeight w:val="783"/>
        </w:trPr>
        <w:tc>
          <w:tcPr>
            <w:tcW w:w="3589" w:type="dxa"/>
            <w:shd w:val="clear" w:color="auto" w:fill="D9D9D9" w:themeFill="background1" w:themeFillShade="D9"/>
          </w:tcPr>
          <w:p w:rsidR="00B06A30" w:rsidRPr="00AC7B7B" w:rsidRDefault="006309D0"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6309D0" w:rsidP="00B06A30">
            <w:pPr>
              <w:pStyle w:val="Heading3"/>
              <w:spacing w:before="100" w:beforeAutospacing="1" w:after="0"/>
            </w:pPr>
            <w:r w:rsidRPr="00AC7B7B">
              <w:t>Is this selected for focus this year?</w:t>
            </w:r>
          </w:p>
          <w:p w:rsidR="00B06A30" w:rsidRPr="00AC7B7B" w:rsidRDefault="00FC0CD4" w:rsidP="00DA66C8">
            <w:pPr>
              <w:pStyle w:val="Heading3"/>
              <w:spacing w:before="100" w:beforeAutospacing="1" w:after="0"/>
            </w:pPr>
          </w:p>
        </w:tc>
        <w:tc>
          <w:tcPr>
            <w:tcW w:w="6219" w:type="dxa"/>
            <w:shd w:val="clear" w:color="auto" w:fill="D9D9D9" w:themeFill="background1" w:themeFillShade="D9"/>
          </w:tcPr>
          <w:p w:rsidR="00B06A30" w:rsidRPr="00DA66C8" w:rsidRDefault="006309D0"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6309D0" w:rsidP="00DA66C8">
            <w:pPr>
              <w:pStyle w:val="Heading3"/>
              <w:spacing w:before="100" w:beforeAutospacing="1" w:after="0"/>
            </w:pPr>
            <w:r w:rsidRPr="00AC7B7B">
              <w:t>12 month target</w:t>
            </w:r>
          </w:p>
          <w:p w:rsidR="00B06A30" w:rsidRPr="00B06A30" w:rsidRDefault="006309D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E27FE1" w:rsidTr="000F3492">
        <w:trPr>
          <w:trHeight w:val="83"/>
        </w:trPr>
        <w:tc>
          <w:tcPr>
            <w:tcW w:w="3589" w:type="dxa"/>
          </w:tcPr>
          <w:p w:rsidR="00B06A30" w:rsidRPr="00BB23C7" w:rsidRDefault="006309D0" w:rsidP="00BB23C7">
            <w:pPr>
              <w:pStyle w:val="ESBodyText"/>
              <w:spacing w:after="0"/>
            </w:pPr>
            <w:r>
              <w:rPr>
                <w:sz w:val="20"/>
              </w:rPr>
              <w:t>2021 Priorities Goal</w:t>
            </w:r>
          </w:p>
        </w:tc>
        <w:tc>
          <w:tcPr>
            <w:tcW w:w="1457" w:type="dxa"/>
          </w:tcPr>
          <w:p w:rsidR="00B06A30" w:rsidRPr="00BB23C7" w:rsidRDefault="006309D0" w:rsidP="00BB23C7">
            <w:pPr>
              <w:pStyle w:val="ESBodyText"/>
              <w:spacing w:after="0"/>
            </w:pPr>
            <w:r>
              <w:rPr>
                <w:sz w:val="20"/>
              </w:rPr>
              <w:t>Yes</w:t>
            </w:r>
          </w:p>
        </w:tc>
        <w:tc>
          <w:tcPr>
            <w:tcW w:w="6219" w:type="dxa"/>
          </w:tcPr>
          <w:p w:rsidR="00E27FE1" w:rsidRDefault="006309D0">
            <w:r>
              <w:rPr>
                <w:rFonts w:ascii="Times New Roman" w:eastAsia="Times New Roman" w:hAnsi="Times New Roman" w:cs="Times New Roman"/>
                <w:sz w:val="24"/>
                <w:szCs w:val="24"/>
              </w:rPr>
              <w:t>Support for the 2021 Priorities</w:t>
            </w:r>
          </w:p>
        </w:tc>
        <w:tc>
          <w:tcPr>
            <w:tcW w:w="3945" w:type="dxa"/>
          </w:tcPr>
          <w:p w:rsidR="00B06A30" w:rsidRPr="00BB23C7" w:rsidRDefault="006309D0" w:rsidP="00BB23C7">
            <w:pPr>
              <w:pStyle w:val="ESBodyText"/>
              <w:spacing w:after="0"/>
            </w:pPr>
            <w:r>
              <w:rPr>
                <w:sz w:val="20"/>
              </w:rPr>
              <w:t>KIS 1a.</w:t>
            </w:r>
            <w:r>
              <w:rPr>
                <w:sz w:val="20"/>
              </w:rPr>
              <w:br/>
              <w:t>NAPLAN Year 3–5, 5–7 and 7–9 matched cohort to show an increase in percentage of students achieving high gain for the period 2019-2021 as compared to the period 2017-2019.</w:t>
            </w:r>
            <w:r>
              <w:rPr>
                <w:sz w:val="20"/>
              </w:rPr>
              <w:br/>
            </w:r>
            <w:r>
              <w:rPr>
                <w:sz w:val="20"/>
              </w:rPr>
              <w:br/>
              <w:t>VCE All Study and English mean scores to have increased over 2020 mean scores.</w:t>
            </w:r>
            <w:r>
              <w:rPr>
                <w:sz w:val="20"/>
              </w:rPr>
              <w:br/>
            </w:r>
            <w:r>
              <w:rPr>
                <w:sz w:val="20"/>
              </w:rPr>
              <w:br/>
              <w:t>Staff Opinion Survey data to increase over 2020 percentage of positive endorsement for School Climate (all factors).</w:t>
            </w:r>
            <w:r>
              <w:rPr>
                <w:sz w:val="20"/>
              </w:rPr>
              <w:br/>
            </w:r>
            <w:r>
              <w:rPr>
                <w:sz w:val="20"/>
              </w:rPr>
              <w:br/>
              <w:t>KIS 1b.</w:t>
            </w:r>
            <w:r>
              <w:rPr>
                <w:sz w:val="20"/>
              </w:rPr>
              <w:br/>
              <w:t xml:space="preserve">Attitude to School survey data to increase over 2020 percentage of positive endorsement for Learner Characteristics and Dispositions (all factors). </w:t>
            </w:r>
            <w:r>
              <w:rPr>
                <w:sz w:val="20"/>
              </w:rPr>
              <w:br/>
            </w:r>
            <w:r>
              <w:rPr>
                <w:sz w:val="20"/>
              </w:rPr>
              <w:br/>
              <w:t>Attitude to School survey data to increase over 2020 percentage of positive endorsement for Teacher Concern factor in Teacher Student Relationships domain across all three year level cohorts (4-6, 7-</w:t>
            </w:r>
            <w:r>
              <w:rPr>
                <w:sz w:val="20"/>
              </w:rPr>
              <w:lastRenderedPageBreak/>
              <w:t xml:space="preserve">9, 10-12). </w:t>
            </w:r>
            <w:r>
              <w:rPr>
                <w:sz w:val="20"/>
              </w:rPr>
              <w:br/>
            </w:r>
            <w:r>
              <w:rPr>
                <w:sz w:val="20"/>
              </w:rPr>
              <w:br/>
              <w:t xml:space="preserve">KIS 1c. </w:t>
            </w:r>
            <w:r>
              <w:rPr>
                <w:sz w:val="20"/>
              </w:rPr>
              <w:br/>
              <w:t xml:space="preserve">Parent Opinion Survey data to increase over 2020 percentage of positive endorsement for Parent Community Engagement module in all three factors. </w:t>
            </w:r>
            <w:r>
              <w:rPr>
                <w:sz w:val="20"/>
              </w:rPr>
              <w:br/>
            </w:r>
          </w:p>
        </w:tc>
      </w:tr>
      <w:tr w:rsidR="00E27FE1" w:rsidTr="000F3492">
        <w:trPr>
          <w:trHeight w:val="83"/>
        </w:trPr>
        <w:tc>
          <w:tcPr>
            <w:tcW w:w="3589" w:type="dxa"/>
            <w:vMerge w:val="restart"/>
          </w:tcPr>
          <w:p w:rsidR="00B06A30" w:rsidRPr="00BB23C7" w:rsidRDefault="006309D0" w:rsidP="00BB23C7">
            <w:pPr>
              <w:pStyle w:val="ESBodyText"/>
              <w:spacing w:after="0"/>
            </w:pPr>
            <w:r>
              <w:rPr>
                <w:sz w:val="20"/>
              </w:rPr>
              <w:lastRenderedPageBreak/>
              <w:t>Enhance the pedagogical repertoire of teachers for improved student learning outcomes.</w:t>
            </w:r>
          </w:p>
        </w:tc>
        <w:tc>
          <w:tcPr>
            <w:tcW w:w="1457" w:type="dxa"/>
            <w:vMerge w:val="restart"/>
          </w:tcPr>
          <w:p w:rsidR="00B06A30" w:rsidRPr="00BB23C7" w:rsidRDefault="006309D0" w:rsidP="00BB23C7">
            <w:pPr>
              <w:pStyle w:val="ESBodyText"/>
              <w:spacing w:after="0"/>
            </w:pPr>
            <w:r>
              <w:rPr>
                <w:sz w:val="20"/>
              </w:rPr>
              <w:t>No</w:t>
            </w: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NAPLAN Year 3–5, 5–7 and 7–9 matched cohort to show an increase in percentage of students achieving high gain as measured by the 2019–22 mean, compared to the 2017–18 mean.</w:t>
            </w:r>
          </w:p>
          <w:p w:rsidR="00E27FE1" w:rsidRDefault="00E27FE1"/>
        </w:tc>
        <w:tc>
          <w:tcPr>
            <w:tcW w:w="3945" w:type="dxa"/>
          </w:tcPr>
          <w:p w:rsidR="00B06A30" w:rsidRPr="00BB23C7" w:rsidRDefault="00FC0CD4" w:rsidP="00BB23C7">
            <w:pPr>
              <w:pStyle w:val="ESBodyText"/>
              <w:spacing w:after="0"/>
            </w:pPr>
          </w:p>
        </w:tc>
      </w:tr>
      <w:tr w:rsidR="00E27FE1" w:rsidTr="000F3492">
        <w:trPr>
          <w:trHeight w:val="83"/>
        </w:trPr>
        <w:tc>
          <w:tcPr>
            <w:tcW w:w="3589" w:type="dxa"/>
            <w:vMerge/>
          </w:tcPr>
          <w:p w:rsidR="00B06A30" w:rsidRPr="00BB23C7" w:rsidRDefault="00FC0CD4" w:rsidP="00BB23C7">
            <w:pPr>
              <w:pStyle w:val="ESBodyText"/>
              <w:spacing w:after="0"/>
            </w:pPr>
          </w:p>
        </w:tc>
        <w:tc>
          <w:tcPr>
            <w:tcW w:w="1457" w:type="dxa"/>
            <w:vMerge/>
          </w:tcPr>
          <w:p w:rsidR="00B06A30" w:rsidRPr="00BB23C7" w:rsidRDefault="00FC0CD4" w:rsidP="00BB23C7">
            <w:pPr>
              <w:pStyle w:val="ESBodyText"/>
              <w:spacing w:after="0"/>
            </w:pP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VCE All Study and English mean scores to show an increase to the 2019–2022 mean from the mean score 2017–18.</w:t>
            </w:r>
          </w:p>
          <w:p w:rsidR="00E27FE1" w:rsidRDefault="00E27FE1"/>
        </w:tc>
        <w:tc>
          <w:tcPr>
            <w:tcW w:w="3945" w:type="dxa"/>
          </w:tcPr>
          <w:p w:rsidR="00B06A30" w:rsidRPr="00BB23C7" w:rsidRDefault="00FC0CD4" w:rsidP="00BB23C7">
            <w:pPr>
              <w:pStyle w:val="ESBodyText"/>
              <w:spacing w:after="0"/>
            </w:pPr>
          </w:p>
        </w:tc>
      </w:tr>
      <w:tr w:rsidR="00E27FE1" w:rsidTr="000F3492">
        <w:trPr>
          <w:trHeight w:val="83"/>
        </w:trPr>
        <w:tc>
          <w:tcPr>
            <w:tcW w:w="3589" w:type="dxa"/>
            <w:vMerge/>
          </w:tcPr>
          <w:p w:rsidR="00B06A30" w:rsidRPr="00BB23C7" w:rsidRDefault="00FC0CD4" w:rsidP="00BB23C7">
            <w:pPr>
              <w:pStyle w:val="ESBodyText"/>
              <w:spacing w:after="0"/>
            </w:pPr>
          </w:p>
        </w:tc>
        <w:tc>
          <w:tcPr>
            <w:tcW w:w="1457" w:type="dxa"/>
            <w:vMerge/>
          </w:tcPr>
          <w:p w:rsidR="00B06A30" w:rsidRPr="00BB23C7" w:rsidRDefault="00FC0CD4" w:rsidP="00BB23C7">
            <w:pPr>
              <w:pStyle w:val="ESBodyText"/>
              <w:spacing w:after="0"/>
            </w:pP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Staff Opinion Survey data to show an increase to the 2019–22 mean per cent endorsement on School Climate measures: Collective efficacy, Collective responsibility, Staff trust in colleagues and Collective focus on student learning from the 2017–18 mean.</w:t>
            </w:r>
          </w:p>
          <w:p w:rsidR="00E27FE1" w:rsidRDefault="00E27FE1"/>
        </w:tc>
        <w:tc>
          <w:tcPr>
            <w:tcW w:w="3945" w:type="dxa"/>
          </w:tcPr>
          <w:p w:rsidR="00B06A30" w:rsidRPr="00BB23C7" w:rsidRDefault="00FC0CD4" w:rsidP="00BB23C7">
            <w:pPr>
              <w:pStyle w:val="ESBodyText"/>
              <w:spacing w:after="0"/>
            </w:pPr>
          </w:p>
        </w:tc>
      </w:tr>
      <w:tr w:rsidR="00E27FE1" w:rsidTr="000F3492">
        <w:trPr>
          <w:trHeight w:val="83"/>
        </w:trPr>
        <w:tc>
          <w:tcPr>
            <w:tcW w:w="3589" w:type="dxa"/>
            <w:vMerge w:val="restart"/>
          </w:tcPr>
          <w:p w:rsidR="00B06A30" w:rsidRPr="00BB23C7" w:rsidRDefault="006309D0" w:rsidP="00BB23C7">
            <w:pPr>
              <w:pStyle w:val="ESBodyText"/>
              <w:spacing w:after="0"/>
            </w:pPr>
            <w:r>
              <w:rPr>
                <w:sz w:val="20"/>
              </w:rPr>
              <w:t>Empower students as learners for improved student outcomes.</w:t>
            </w:r>
          </w:p>
        </w:tc>
        <w:tc>
          <w:tcPr>
            <w:tcW w:w="1457" w:type="dxa"/>
            <w:vMerge w:val="restart"/>
          </w:tcPr>
          <w:p w:rsidR="00B06A30" w:rsidRPr="00BB23C7" w:rsidRDefault="006309D0" w:rsidP="00BB23C7">
            <w:pPr>
              <w:pStyle w:val="ESBodyText"/>
              <w:spacing w:after="0"/>
            </w:pPr>
            <w:r>
              <w:rPr>
                <w:sz w:val="20"/>
              </w:rPr>
              <w:t>No</w:t>
            </w: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Students Attitudes to School Survey data Year 4–6 and Year 7–12 to show an improvement in the factor measures: Effective teaching practice for cognitive enagement and Student voice and agency and the Learner characteristics and disposition factor measures as measured by the 2019–22 mean, compared to the 2017–18 mean per cent positive endorsement</w:t>
            </w:r>
            <w:r>
              <w:rPr>
                <w:rFonts w:ascii="Times New Roman" w:eastAsia="Times New Roman" w:hAnsi="Times New Roman" w:cs="Times New Roman"/>
                <w:sz w:val="24"/>
                <w:szCs w:val="24"/>
              </w:rPr>
              <w:t>.</w:t>
            </w:r>
          </w:p>
          <w:p w:rsidR="00E27FE1" w:rsidRDefault="00E27FE1"/>
        </w:tc>
        <w:tc>
          <w:tcPr>
            <w:tcW w:w="3945" w:type="dxa"/>
          </w:tcPr>
          <w:p w:rsidR="00B06A30" w:rsidRPr="00BB23C7" w:rsidRDefault="00FC0CD4" w:rsidP="00BB23C7">
            <w:pPr>
              <w:pStyle w:val="ESBodyText"/>
              <w:spacing w:after="0"/>
            </w:pPr>
          </w:p>
        </w:tc>
      </w:tr>
      <w:tr w:rsidR="00E27FE1" w:rsidTr="000F3492">
        <w:trPr>
          <w:trHeight w:val="83"/>
        </w:trPr>
        <w:tc>
          <w:tcPr>
            <w:tcW w:w="3589" w:type="dxa"/>
            <w:vMerge/>
          </w:tcPr>
          <w:p w:rsidR="00B06A30" w:rsidRPr="00BB23C7" w:rsidRDefault="00FC0CD4" w:rsidP="00BB23C7">
            <w:pPr>
              <w:pStyle w:val="ESBodyText"/>
              <w:spacing w:after="0"/>
            </w:pPr>
          </w:p>
        </w:tc>
        <w:tc>
          <w:tcPr>
            <w:tcW w:w="1457" w:type="dxa"/>
            <w:vMerge/>
          </w:tcPr>
          <w:p w:rsidR="00B06A30" w:rsidRPr="00BB23C7" w:rsidRDefault="00FC0CD4" w:rsidP="00BB23C7">
            <w:pPr>
              <w:pStyle w:val="ESBodyText"/>
              <w:spacing w:after="0"/>
            </w:pP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Staff opinion survey factor Teaching and learning implementation factor measures to show an increased trend from the 2017–18 mean to the 2019–22 mean.</w:t>
            </w:r>
          </w:p>
          <w:p w:rsidR="00E27FE1" w:rsidRDefault="00E27FE1"/>
        </w:tc>
        <w:tc>
          <w:tcPr>
            <w:tcW w:w="3945" w:type="dxa"/>
          </w:tcPr>
          <w:p w:rsidR="00B06A30" w:rsidRPr="00BB23C7" w:rsidRDefault="00FC0CD4" w:rsidP="00BB23C7">
            <w:pPr>
              <w:pStyle w:val="ESBodyText"/>
              <w:spacing w:after="0"/>
            </w:pPr>
          </w:p>
        </w:tc>
      </w:tr>
      <w:tr w:rsidR="00E27FE1" w:rsidTr="000F3492">
        <w:trPr>
          <w:trHeight w:val="83"/>
        </w:trPr>
        <w:tc>
          <w:tcPr>
            <w:tcW w:w="3589" w:type="dxa"/>
            <w:vMerge/>
          </w:tcPr>
          <w:p w:rsidR="00B06A30" w:rsidRPr="00BB23C7" w:rsidRDefault="00FC0CD4" w:rsidP="00BB23C7">
            <w:pPr>
              <w:pStyle w:val="ESBodyText"/>
              <w:spacing w:after="0"/>
            </w:pPr>
          </w:p>
        </w:tc>
        <w:tc>
          <w:tcPr>
            <w:tcW w:w="1457" w:type="dxa"/>
            <w:vMerge/>
          </w:tcPr>
          <w:p w:rsidR="00B06A30" w:rsidRPr="00BB23C7" w:rsidRDefault="00FC0CD4" w:rsidP="00BB23C7">
            <w:pPr>
              <w:pStyle w:val="ESBodyText"/>
              <w:spacing w:after="0"/>
            </w:pP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Pivot data to show an improving trend from 2018 measures</w:t>
            </w:r>
            <w:r>
              <w:rPr>
                <w:rFonts w:ascii="Times New Roman" w:eastAsia="Times New Roman" w:hAnsi="Times New Roman" w:cs="Times New Roman"/>
                <w:sz w:val="24"/>
                <w:szCs w:val="24"/>
              </w:rPr>
              <w:t>.</w:t>
            </w:r>
          </w:p>
          <w:p w:rsidR="00E27FE1" w:rsidRDefault="00E27FE1"/>
        </w:tc>
        <w:tc>
          <w:tcPr>
            <w:tcW w:w="3945" w:type="dxa"/>
          </w:tcPr>
          <w:p w:rsidR="00B06A30" w:rsidRPr="00BB23C7" w:rsidRDefault="00FC0CD4" w:rsidP="00BB23C7">
            <w:pPr>
              <w:pStyle w:val="ESBodyText"/>
              <w:spacing w:after="0"/>
            </w:pPr>
          </w:p>
        </w:tc>
      </w:tr>
      <w:tr w:rsidR="00E27FE1" w:rsidTr="000F3492">
        <w:trPr>
          <w:trHeight w:val="83"/>
        </w:trPr>
        <w:tc>
          <w:tcPr>
            <w:tcW w:w="3589" w:type="dxa"/>
            <w:vMerge w:val="restart"/>
          </w:tcPr>
          <w:p w:rsidR="00B06A30" w:rsidRPr="00BB23C7" w:rsidRDefault="006309D0" w:rsidP="00BB23C7">
            <w:pPr>
              <w:pStyle w:val="ESBodyText"/>
              <w:spacing w:after="0"/>
            </w:pPr>
            <w:r>
              <w:rPr>
                <w:sz w:val="20"/>
              </w:rPr>
              <w:t>Enhance student wellbeing and engagement.</w:t>
            </w:r>
          </w:p>
        </w:tc>
        <w:tc>
          <w:tcPr>
            <w:tcW w:w="1457" w:type="dxa"/>
            <w:vMerge w:val="restart"/>
          </w:tcPr>
          <w:p w:rsidR="00B06A30" w:rsidRPr="00BB23C7" w:rsidRDefault="006309D0" w:rsidP="00BB23C7">
            <w:pPr>
              <w:pStyle w:val="ESBodyText"/>
              <w:spacing w:after="0"/>
            </w:pPr>
            <w:r>
              <w:rPr>
                <w:sz w:val="20"/>
              </w:rPr>
              <w:t>No</w:t>
            </w: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Students Attitudes to School Survey data Year 4–6 and 7–12 to show an improvement in the Connectedness to school and Inclusion measures as measured by the 2019–2022 trend, compared to the 2017–18 mean.</w:t>
            </w:r>
          </w:p>
          <w:p w:rsidR="00E27FE1" w:rsidRDefault="00E27FE1"/>
        </w:tc>
        <w:tc>
          <w:tcPr>
            <w:tcW w:w="3945" w:type="dxa"/>
          </w:tcPr>
          <w:p w:rsidR="00B06A30" w:rsidRPr="00BB23C7" w:rsidRDefault="00FC0CD4" w:rsidP="00BB23C7">
            <w:pPr>
              <w:pStyle w:val="ESBodyText"/>
              <w:spacing w:after="0"/>
            </w:pPr>
          </w:p>
        </w:tc>
      </w:tr>
      <w:tr w:rsidR="00E27FE1" w:rsidTr="000F3492">
        <w:trPr>
          <w:trHeight w:val="83"/>
        </w:trPr>
        <w:tc>
          <w:tcPr>
            <w:tcW w:w="3589" w:type="dxa"/>
            <w:vMerge/>
          </w:tcPr>
          <w:p w:rsidR="00B06A30" w:rsidRPr="00BB23C7" w:rsidRDefault="00FC0CD4" w:rsidP="00BB23C7">
            <w:pPr>
              <w:pStyle w:val="ESBodyText"/>
              <w:spacing w:after="0"/>
            </w:pPr>
          </w:p>
        </w:tc>
        <w:tc>
          <w:tcPr>
            <w:tcW w:w="1457" w:type="dxa"/>
            <w:vMerge/>
          </w:tcPr>
          <w:p w:rsidR="00B06A30" w:rsidRPr="00BB23C7" w:rsidRDefault="00FC0CD4" w:rsidP="00BB23C7">
            <w:pPr>
              <w:pStyle w:val="ESBodyText"/>
              <w:spacing w:after="0"/>
            </w:pP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Staff Opinion Survey data to show an increase in the per cent endorsement on Collective efficacy measures as measured by the 2019–2022 trend from the 2017–18 mean.</w:t>
            </w:r>
          </w:p>
          <w:p w:rsidR="00E27FE1" w:rsidRDefault="00E27FE1"/>
        </w:tc>
        <w:tc>
          <w:tcPr>
            <w:tcW w:w="3945" w:type="dxa"/>
          </w:tcPr>
          <w:p w:rsidR="00B06A30" w:rsidRPr="00BB23C7" w:rsidRDefault="00FC0CD4" w:rsidP="00BB23C7">
            <w:pPr>
              <w:pStyle w:val="ESBodyText"/>
              <w:spacing w:after="0"/>
            </w:pPr>
          </w:p>
        </w:tc>
      </w:tr>
      <w:tr w:rsidR="00E27FE1" w:rsidTr="000F3492">
        <w:trPr>
          <w:trHeight w:val="83"/>
        </w:trPr>
        <w:tc>
          <w:tcPr>
            <w:tcW w:w="3589" w:type="dxa"/>
            <w:vMerge/>
          </w:tcPr>
          <w:p w:rsidR="00B06A30" w:rsidRPr="00BB23C7" w:rsidRDefault="00FC0CD4" w:rsidP="00BB23C7">
            <w:pPr>
              <w:pStyle w:val="ESBodyText"/>
              <w:spacing w:after="0"/>
            </w:pPr>
          </w:p>
        </w:tc>
        <w:tc>
          <w:tcPr>
            <w:tcW w:w="1457" w:type="dxa"/>
            <w:vMerge/>
          </w:tcPr>
          <w:p w:rsidR="00B06A30" w:rsidRPr="00BB23C7" w:rsidRDefault="00FC0CD4" w:rsidP="00BB23C7">
            <w:pPr>
              <w:pStyle w:val="ESBodyText"/>
              <w:spacing w:after="0"/>
            </w:pPr>
          </w:p>
        </w:tc>
        <w:tc>
          <w:tcPr>
            <w:tcW w:w="6219" w:type="dxa"/>
          </w:tcPr>
          <w:p w:rsidR="00E27FE1" w:rsidRDefault="006309D0">
            <w:pPr>
              <w:spacing w:after="240" w:line="240" w:lineRule="auto"/>
              <w:rPr>
                <w:rFonts w:ascii="Times New Roman" w:eastAsia="Times New Roman" w:hAnsi="Times New Roman" w:cs="Times New Roman"/>
                <w:sz w:val="24"/>
                <w:szCs w:val="24"/>
              </w:rPr>
            </w:pPr>
            <w:r>
              <w:rPr>
                <w:rFonts w:eastAsia="Arial"/>
                <w:sz w:val="20"/>
                <w:szCs w:val="20"/>
              </w:rPr>
              <w:t>Parent Opinion survey to show an increase in the per cent endorsement on Positive transitions measure as measured by the 2019–2022 trend from the 2017–18 mean.</w:t>
            </w:r>
          </w:p>
          <w:p w:rsidR="00E27FE1" w:rsidRDefault="00E27FE1"/>
        </w:tc>
        <w:tc>
          <w:tcPr>
            <w:tcW w:w="3945" w:type="dxa"/>
          </w:tcPr>
          <w:p w:rsidR="00B06A30" w:rsidRPr="00BB23C7" w:rsidRDefault="00FC0CD4" w:rsidP="00BB23C7">
            <w:pPr>
              <w:pStyle w:val="ESBodyText"/>
              <w:spacing w:after="0"/>
            </w:pPr>
          </w:p>
        </w:tc>
      </w:tr>
    </w:tbl>
    <w:p w:rsidR="003E4341" w:rsidRDefault="00FC0CD4" w:rsidP="00BB23C7">
      <w:pPr>
        <w:pStyle w:val="ESBodyText"/>
        <w:spacing w:after="0"/>
      </w:pPr>
    </w:p>
    <w:p w:rsidR="00973DEE" w:rsidRDefault="00FC0CD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E27FE1" w:rsidTr="00DA66C8">
        <w:trPr>
          <w:trHeight w:val="218"/>
        </w:trPr>
        <w:tc>
          <w:tcPr>
            <w:tcW w:w="3772" w:type="dxa"/>
            <w:shd w:val="clear" w:color="auto" w:fill="D9D9D9" w:themeFill="background1" w:themeFillShade="D9"/>
          </w:tcPr>
          <w:p w:rsidR="00973DEE" w:rsidRPr="00AC7B7B" w:rsidRDefault="006309D0"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6309D0" w:rsidP="00BB23C7">
            <w:pPr>
              <w:pStyle w:val="ESBodyText"/>
              <w:spacing w:after="0"/>
              <w:rPr>
                <w:b/>
              </w:rPr>
            </w:pPr>
            <w:r>
              <w:rPr>
                <w:sz w:val="20"/>
              </w:rPr>
              <w:t>2021 Priorities Goal</w:t>
            </w:r>
          </w:p>
        </w:tc>
      </w:tr>
      <w:tr w:rsidR="00E27FE1" w:rsidTr="00DA66C8">
        <w:trPr>
          <w:trHeight w:val="15"/>
        </w:trPr>
        <w:tc>
          <w:tcPr>
            <w:tcW w:w="3772" w:type="dxa"/>
            <w:shd w:val="clear" w:color="auto" w:fill="D9D9D9" w:themeFill="background1" w:themeFillShade="D9"/>
          </w:tcPr>
          <w:p w:rsidR="00973DEE" w:rsidRPr="00DB56D4" w:rsidRDefault="006309D0"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6309D0" w:rsidP="00BB23C7">
            <w:pPr>
              <w:pStyle w:val="ESBodyText"/>
              <w:spacing w:after="0"/>
              <w:rPr>
                <w:b/>
              </w:rPr>
            </w:pPr>
            <w:r>
              <w:rPr>
                <w:sz w:val="20"/>
              </w:rPr>
              <w:t>KIS 1a.</w:t>
            </w:r>
            <w:r>
              <w:rPr>
                <w:sz w:val="20"/>
              </w:rPr>
              <w:br/>
              <w:t xml:space="preserve">NAPLAN Year 3–5, 5–7 and 7–9 matched cohort to show an increase in percentage of students achieving high gain for the </w:t>
            </w:r>
            <w:r>
              <w:rPr>
                <w:sz w:val="20"/>
              </w:rPr>
              <w:lastRenderedPageBreak/>
              <w:t>period 2019-2021 as compared to the period 2017-2019.</w:t>
            </w:r>
            <w:r>
              <w:rPr>
                <w:sz w:val="20"/>
              </w:rPr>
              <w:br/>
            </w:r>
            <w:r>
              <w:rPr>
                <w:sz w:val="20"/>
              </w:rPr>
              <w:br/>
              <w:t>VCE All Study and English mean scores to have increased over 2020 mean scores.</w:t>
            </w:r>
            <w:r>
              <w:rPr>
                <w:sz w:val="20"/>
              </w:rPr>
              <w:br/>
            </w:r>
            <w:r>
              <w:rPr>
                <w:sz w:val="20"/>
              </w:rPr>
              <w:br/>
              <w:t>Staff Opinion Survey data to increase over 2020 percentage of positive endorsement for School Climate (all factors).</w:t>
            </w:r>
            <w:r>
              <w:rPr>
                <w:sz w:val="20"/>
              </w:rPr>
              <w:br/>
            </w:r>
            <w:r>
              <w:rPr>
                <w:sz w:val="20"/>
              </w:rPr>
              <w:br/>
              <w:t>KIS 1b.</w:t>
            </w:r>
            <w:r>
              <w:rPr>
                <w:sz w:val="20"/>
              </w:rPr>
              <w:br/>
              <w:t xml:space="preserve">Attitude to School survey data to increase over 2020 percentage of positive endorsement for Learner Characteristics and Dispositions (all factors). </w:t>
            </w:r>
            <w:r>
              <w:rPr>
                <w:sz w:val="20"/>
              </w:rPr>
              <w:br/>
            </w:r>
            <w:r>
              <w:rPr>
                <w:sz w:val="20"/>
              </w:rPr>
              <w:br/>
              <w:t xml:space="preserve">Attitude to School survey data to increase over 2020 percentage of positive endorsement for Teacher Concern factor in Teacher Student Relationships domain across all three year level cohorts (4-6, 7-9, 10-12). </w:t>
            </w:r>
            <w:r>
              <w:rPr>
                <w:sz w:val="20"/>
              </w:rPr>
              <w:br/>
            </w:r>
            <w:r>
              <w:rPr>
                <w:sz w:val="20"/>
              </w:rPr>
              <w:br/>
              <w:t xml:space="preserve">KIS 1c. </w:t>
            </w:r>
            <w:r>
              <w:rPr>
                <w:sz w:val="20"/>
              </w:rPr>
              <w:br/>
              <w:t xml:space="preserve">Parent Opinion Survey data to increase over 2020 percentage of positive endorsement for Parent Community Engagement module in all three factors. </w:t>
            </w:r>
            <w:r>
              <w:rPr>
                <w:sz w:val="20"/>
              </w:rPr>
              <w:br/>
            </w:r>
          </w:p>
        </w:tc>
      </w:tr>
      <w:tr w:rsidR="00E27FE1" w:rsidTr="00A800BE">
        <w:trPr>
          <w:trHeight w:val="15"/>
        </w:trPr>
        <w:tc>
          <w:tcPr>
            <w:tcW w:w="12022" w:type="dxa"/>
            <w:gridSpan w:val="2"/>
            <w:shd w:val="clear" w:color="auto" w:fill="D9D9D9" w:themeFill="background1" w:themeFillShade="D9"/>
          </w:tcPr>
          <w:p w:rsidR="00DB56D4" w:rsidRPr="00BD3D7C" w:rsidRDefault="006309D0"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rsidR="00DB56D4" w:rsidRPr="00BD3D7C" w:rsidRDefault="006309D0" w:rsidP="00BB23C7">
            <w:pPr>
              <w:pStyle w:val="ESBodyText"/>
              <w:spacing w:after="0"/>
              <w:rPr>
                <w:b/>
              </w:rPr>
            </w:pPr>
            <w:r w:rsidRPr="00BD3D7C">
              <w:rPr>
                <w:color w:val="000000"/>
                <w:lang w:val="en-AU"/>
              </w:rPr>
              <w:t>Is this KIS selected for focus this year?</w:t>
            </w:r>
          </w:p>
        </w:tc>
      </w:tr>
      <w:tr w:rsidR="00E27FE1" w:rsidTr="00CE0F0F">
        <w:trPr>
          <w:trHeight w:val="176"/>
        </w:trPr>
        <w:tc>
          <w:tcPr>
            <w:tcW w:w="3772" w:type="dxa"/>
            <w:shd w:val="clear" w:color="auto" w:fill="62BFEB"/>
          </w:tcPr>
          <w:p w:rsidR="00DB56D4" w:rsidRPr="00D43286" w:rsidRDefault="006309D0" w:rsidP="00BB23C7">
            <w:pPr>
              <w:pStyle w:val="ESBodyText"/>
              <w:spacing w:after="0"/>
              <w:rPr>
                <w:b/>
              </w:rPr>
            </w:pPr>
            <w:r w:rsidRPr="00BD3D7C">
              <w:rPr>
                <w:b/>
                <w:sz w:val="20"/>
                <w:szCs w:val="20"/>
              </w:rPr>
              <w:t>KIS 1</w:t>
            </w:r>
          </w:p>
          <w:p w:rsidR="00E27FE1" w:rsidRDefault="006309D0">
            <w:r>
              <w:rPr>
                <w:sz w:val="20"/>
              </w:rPr>
              <w:t>Curriculum planning and assessment</w:t>
            </w:r>
          </w:p>
        </w:tc>
        <w:tc>
          <w:tcPr>
            <w:tcW w:w="8250" w:type="dxa"/>
            <w:shd w:val="clear" w:color="auto" w:fill="62BFEB"/>
          </w:tcPr>
          <w:p w:rsidR="00DB56D4" w:rsidRPr="00D43286" w:rsidRDefault="006309D0" w:rsidP="00BB23C7">
            <w:pPr>
              <w:pStyle w:val="ESBodyText"/>
              <w:spacing w:after="0"/>
              <w:rPr>
                <w:b/>
              </w:rPr>
            </w:pPr>
            <w:r>
              <w:rPr>
                <w:sz w:val="20"/>
              </w:rPr>
              <w:t>Learning, catch-up and extension priority</w:t>
            </w:r>
          </w:p>
        </w:tc>
        <w:tc>
          <w:tcPr>
            <w:tcW w:w="3188" w:type="dxa"/>
          </w:tcPr>
          <w:p w:rsidR="00DB56D4" w:rsidRPr="00D43286" w:rsidRDefault="006309D0" w:rsidP="00BB23C7">
            <w:pPr>
              <w:pStyle w:val="ESBodyText"/>
              <w:spacing w:after="0"/>
              <w:rPr>
                <w:b/>
              </w:rPr>
            </w:pPr>
            <w:r>
              <w:rPr>
                <w:sz w:val="20"/>
              </w:rPr>
              <w:t>Yes</w:t>
            </w:r>
          </w:p>
        </w:tc>
      </w:tr>
      <w:tr w:rsidR="00E27FE1" w:rsidTr="00CE0F0F">
        <w:trPr>
          <w:trHeight w:val="176"/>
        </w:trPr>
        <w:tc>
          <w:tcPr>
            <w:tcW w:w="3772" w:type="dxa"/>
            <w:shd w:val="clear" w:color="auto" w:fill="F47721"/>
          </w:tcPr>
          <w:p w:rsidR="00DB56D4" w:rsidRPr="00D43286" w:rsidRDefault="006309D0" w:rsidP="00BB23C7">
            <w:pPr>
              <w:pStyle w:val="ESBodyText"/>
              <w:spacing w:after="0"/>
              <w:rPr>
                <w:b/>
              </w:rPr>
            </w:pPr>
            <w:r w:rsidRPr="00BD3D7C">
              <w:rPr>
                <w:b/>
                <w:sz w:val="20"/>
                <w:szCs w:val="20"/>
              </w:rPr>
              <w:t>KIS 2</w:t>
            </w:r>
          </w:p>
          <w:p w:rsidR="00E27FE1" w:rsidRDefault="006309D0">
            <w:r>
              <w:rPr>
                <w:sz w:val="20"/>
              </w:rPr>
              <w:t>Health and wellbeing</w:t>
            </w:r>
          </w:p>
        </w:tc>
        <w:tc>
          <w:tcPr>
            <w:tcW w:w="8250" w:type="dxa"/>
            <w:shd w:val="clear" w:color="auto" w:fill="F47721"/>
          </w:tcPr>
          <w:p w:rsidR="00DB56D4" w:rsidRPr="00D43286" w:rsidRDefault="006309D0" w:rsidP="00BB23C7">
            <w:pPr>
              <w:pStyle w:val="ESBodyText"/>
              <w:spacing w:after="0"/>
              <w:rPr>
                <w:b/>
              </w:rPr>
            </w:pPr>
            <w:r>
              <w:rPr>
                <w:sz w:val="20"/>
              </w:rPr>
              <w:t>Happy, active and healthy kids priority</w:t>
            </w:r>
          </w:p>
        </w:tc>
        <w:tc>
          <w:tcPr>
            <w:tcW w:w="3188" w:type="dxa"/>
          </w:tcPr>
          <w:p w:rsidR="00DB56D4" w:rsidRPr="00D43286" w:rsidRDefault="006309D0" w:rsidP="00BB23C7">
            <w:pPr>
              <w:pStyle w:val="ESBodyText"/>
              <w:spacing w:after="0"/>
              <w:rPr>
                <w:b/>
              </w:rPr>
            </w:pPr>
            <w:r>
              <w:rPr>
                <w:sz w:val="20"/>
              </w:rPr>
              <w:t>Yes</w:t>
            </w:r>
          </w:p>
        </w:tc>
      </w:tr>
      <w:tr w:rsidR="00E27FE1" w:rsidTr="00CE0F0F">
        <w:trPr>
          <w:trHeight w:val="176"/>
        </w:trPr>
        <w:tc>
          <w:tcPr>
            <w:tcW w:w="3772" w:type="dxa"/>
            <w:shd w:val="clear" w:color="auto" w:fill="AF96B4"/>
          </w:tcPr>
          <w:p w:rsidR="00DB56D4" w:rsidRPr="00D43286" w:rsidRDefault="006309D0" w:rsidP="00BB23C7">
            <w:pPr>
              <w:pStyle w:val="ESBodyText"/>
              <w:spacing w:after="0"/>
              <w:rPr>
                <w:b/>
              </w:rPr>
            </w:pPr>
            <w:r w:rsidRPr="00BD3D7C">
              <w:rPr>
                <w:b/>
                <w:sz w:val="20"/>
                <w:szCs w:val="20"/>
              </w:rPr>
              <w:t>KIS 3</w:t>
            </w:r>
          </w:p>
          <w:p w:rsidR="00E27FE1" w:rsidRDefault="006309D0">
            <w:r>
              <w:rPr>
                <w:sz w:val="20"/>
              </w:rPr>
              <w:t>Building communities</w:t>
            </w:r>
          </w:p>
        </w:tc>
        <w:tc>
          <w:tcPr>
            <w:tcW w:w="8250" w:type="dxa"/>
            <w:shd w:val="clear" w:color="auto" w:fill="AF96B4"/>
          </w:tcPr>
          <w:p w:rsidR="00DB56D4" w:rsidRPr="00D43286" w:rsidRDefault="006309D0" w:rsidP="00BB23C7">
            <w:pPr>
              <w:pStyle w:val="ESBodyText"/>
              <w:spacing w:after="0"/>
              <w:rPr>
                <w:b/>
              </w:rPr>
            </w:pPr>
            <w:r>
              <w:rPr>
                <w:sz w:val="20"/>
              </w:rPr>
              <w:t>Connected schools priority</w:t>
            </w:r>
          </w:p>
        </w:tc>
        <w:tc>
          <w:tcPr>
            <w:tcW w:w="3188" w:type="dxa"/>
          </w:tcPr>
          <w:p w:rsidR="00DB56D4" w:rsidRPr="00D43286" w:rsidRDefault="006309D0" w:rsidP="00BB23C7">
            <w:pPr>
              <w:pStyle w:val="ESBodyText"/>
              <w:spacing w:after="0"/>
              <w:rPr>
                <w:b/>
              </w:rPr>
            </w:pPr>
            <w:r>
              <w:rPr>
                <w:sz w:val="20"/>
              </w:rPr>
              <w:t>Yes</w:t>
            </w:r>
          </w:p>
        </w:tc>
      </w:tr>
      <w:tr w:rsidR="00E27FE1" w:rsidTr="0001315D">
        <w:trPr>
          <w:trHeight w:val="1741"/>
        </w:trPr>
        <w:tc>
          <w:tcPr>
            <w:tcW w:w="3772" w:type="dxa"/>
            <w:shd w:val="clear" w:color="auto" w:fill="D9D9D9" w:themeFill="background1" w:themeFillShade="D9"/>
          </w:tcPr>
          <w:p w:rsidR="00BD3D7C" w:rsidRPr="00BD3D7C" w:rsidRDefault="006309D0" w:rsidP="00BB23C7">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6309D0" w:rsidP="00BB23C7">
            <w:pPr>
              <w:pStyle w:val="ESBodyText"/>
              <w:spacing w:after="0"/>
              <w:rPr>
                <w:b/>
              </w:rPr>
            </w:pPr>
            <w:r>
              <w:rPr>
                <w:sz w:val="20"/>
              </w:rPr>
              <w:t>Please leave this field empty. Schools are not required to provide a rationale as this is in line with system priorities for 2021.</w:t>
            </w:r>
          </w:p>
        </w:tc>
      </w:tr>
    </w:tbl>
    <w:p w:rsidR="000A423E" w:rsidRDefault="00FC0CD4" w:rsidP="004E7357">
      <w:pPr>
        <w:pStyle w:val="ESBodyText"/>
      </w:pPr>
    </w:p>
    <w:p w:rsidR="00E27FE1" w:rsidRDefault="00E27FE1"/>
    <w:sectPr w:rsidR="00E27FE1"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CD4" w:rsidRDefault="00FC0CD4">
      <w:pPr>
        <w:spacing w:after="0" w:line="240" w:lineRule="auto"/>
      </w:pPr>
      <w:r>
        <w:separator/>
      </w:r>
    </w:p>
  </w:endnote>
  <w:endnote w:type="continuationSeparator" w:id="0">
    <w:p w:rsidR="00FC0CD4" w:rsidRDefault="00FC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6309D0"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FC0CD4"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6309D0"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6309D0" w:rsidP="00943620">
    <w:pPr>
      <w:pStyle w:val="ESSubheading1"/>
      <w:ind w:firstLine="567"/>
    </w:pPr>
    <w:r w:rsidRPr="00943620">
      <w:rPr>
        <w:noProof/>
        <w:sz w:val="15"/>
        <w:szCs w:val="15"/>
      </w:rPr>
      <w:t>Lorne P-12 College (7997) - 2021 - AIP - Annual Goals Targets and KIS</w:t>
    </w:r>
    <w:r w:rsidRPr="000C104E">
      <w:rPr>
        <w:noProof/>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6309D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53AEC">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CD4" w:rsidRDefault="00FC0CD4">
      <w:pPr>
        <w:spacing w:after="0" w:line="240" w:lineRule="auto"/>
      </w:pPr>
      <w:r>
        <w:separator/>
      </w:r>
    </w:p>
  </w:footnote>
  <w:footnote w:type="continuationSeparator" w:id="0">
    <w:p w:rsidR="00FC0CD4" w:rsidRDefault="00FC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C0C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6309D0">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C0CD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C0C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309D0">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309D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6309D0" w:rsidP="008766A4">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C0CD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309D0">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309D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8D6A9EC6">
      <w:start w:val="1"/>
      <w:numFmt w:val="bullet"/>
      <w:pStyle w:val="ESBulletsinTable"/>
      <w:lvlText w:val=""/>
      <w:lvlJc w:val="left"/>
      <w:pPr>
        <w:ind w:left="360" w:hanging="360"/>
      </w:pPr>
      <w:rPr>
        <w:rFonts w:ascii="Symbol" w:hAnsi="Symbol" w:hint="default"/>
        <w:color w:val="AF272F"/>
      </w:rPr>
    </w:lvl>
    <w:lvl w:ilvl="1" w:tplc="8B2C8C1E">
      <w:start w:val="1"/>
      <w:numFmt w:val="bullet"/>
      <w:pStyle w:val="ESBulletsinTableLevel2"/>
      <w:lvlText w:val="o"/>
      <w:lvlJc w:val="left"/>
      <w:pPr>
        <w:ind w:left="1440" w:hanging="360"/>
      </w:pPr>
      <w:rPr>
        <w:rFonts w:ascii="Courier New" w:hAnsi="Courier New" w:cs="Courier New" w:hint="default"/>
      </w:rPr>
    </w:lvl>
    <w:lvl w:ilvl="2" w:tplc="0364896E" w:tentative="1">
      <w:start w:val="1"/>
      <w:numFmt w:val="bullet"/>
      <w:lvlText w:val=""/>
      <w:lvlJc w:val="left"/>
      <w:pPr>
        <w:ind w:left="2160" w:hanging="360"/>
      </w:pPr>
      <w:rPr>
        <w:rFonts w:ascii="Wingdings" w:hAnsi="Wingdings" w:hint="default"/>
      </w:rPr>
    </w:lvl>
    <w:lvl w:ilvl="3" w:tplc="E26E4FEE" w:tentative="1">
      <w:start w:val="1"/>
      <w:numFmt w:val="bullet"/>
      <w:lvlText w:val=""/>
      <w:lvlJc w:val="left"/>
      <w:pPr>
        <w:ind w:left="2880" w:hanging="360"/>
      </w:pPr>
      <w:rPr>
        <w:rFonts w:ascii="Symbol" w:hAnsi="Symbol" w:hint="default"/>
      </w:rPr>
    </w:lvl>
    <w:lvl w:ilvl="4" w:tplc="B0EA8DA2" w:tentative="1">
      <w:start w:val="1"/>
      <w:numFmt w:val="bullet"/>
      <w:lvlText w:val="o"/>
      <w:lvlJc w:val="left"/>
      <w:pPr>
        <w:ind w:left="3600" w:hanging="360"/>
      </w:pPr>
      <w:rPr>
        <w:rFonts w:ascii="Courier New" w:hAnsi="Courier New" w:cs="Courier New" w:hint="default"/>
      </w:rPr>
    </w:lvl>
    <w:lvl w:ilvl="5" w:tplc="F750440A" w:tentative="1">
      <w:start w:val="1"/>
      <w:numFmt w:val="bullet"/>
      <w:lvlText w:val=""/>
      <w:lvlJc w:val="left"/>
      <w:pPr>
        <w:ind w:left="4320" w:hanging="360"/>
      </w:pPr>
      <w:rPr>
        <w:rFonts w:ascii="Wingdings" w:hAnsi="Wingdings" w:hint="default"/>
      </w:rPr>
    </w:lvl>
    <w:lvl w:ilvl="6" w:tplc="906AA070" w:tentative="1">
      <w:start w:val="1"/>
      <w:numFmt w:val="bullet"/>
      <w:lvlText w:val=""/>
      <w:lvlJc w:val="left"/>
      <w:pPr>
        <w:ind w:left="5040" w:hanging="360"/>
      </w:pPr>
      <w:rPr>
        <w:rFonts w:ascii="Symbol" w:hAnsi="Symbol" w:hint="default"/>
      </w:rPr>
    </w:lvl>
    <w:lvl w:ilvl="7" w:tplc="67FC94E0" w:tentative="1">
      <w:start w:val="1"/>
      <w:numFmt w:val="bullet"/>
      <w:lvlText w:val="o"/>
      <w:lvlJc w:val="left"/>
      <w:pPr>
        <w:ind w:left="5760" w:hanging="360"/>
      </w:pPr>
      <w:rPr>
        <w:rFonts w:ascii="Courier New" w:hAnsi="Courier New" w:cs="Courier New" w:hint="default"/>
      </w:rPr>
    </w:lvl>
    <w:lvl w:ilvl="8" w:tplc="F9004112"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E1"/>
    <w:rsid w:val="00533AA5"/>
    <w:rsid w:val="006309D0"/>
    <w:rsid w:val="00E27FE1"/>
    <w:rsid w:val="00F53AEC"/>
    <w:rsid w:val="00FC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9B1EA0FB-FD4C-4358-B205-03243C2D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62DBD9-5138-4BAF-9A3A-E5DE366B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Couper, Geoffrey R</cp:lastModifiedBy>
  <cp:revision>2</cp:revision>
  <dcterms:created xsi:type="dcterms:W3CDTF">2021-08-09T05:57:00Z</dcterms:created>
  <dcterms:modified xsi:type="dcterms:W3CDTF">2021-08-09T05:57:00Z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